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19DE5236"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w:t>
      </w:r>
      <w:r w:rsidR="000049D8" w:rsidRPr="00A72757">
        <w:rPr>
          <w:rFonts w:ascii="Calibri" w:hAnsi="Calibri"/>
          <w:b/>
          <w:bCs/>
          <w:color w:val="00558C"/>
          <w:sz w:val="24"/>
          <w:szCs w:val="24"/>
        </w:rPr>
        <w:t xml:space="preserve">  </w:t>
      </w:r>
      <w:r w:rsidR="00B356B5">
        <w:rPr>
          <w:rFonts w:ascii="Calibri" w:hAnsi="Calibri"/>
          <w:color w:val="00558C"/>
          <w:sz w:val="24"/>
          <w:szCs w:val="24"/>
        </w:rPr>
        <w:t>ENG19</w:t>
      </w:r>
      <w:r w:rsidRPr="00A72757">
        <w:rPr>
          <w:rFonts w:ascii="Calibri" w:hAnsi="Calibri"/>
          <w:color w:val="00558C"/>
          <w:sz w:val="24"/>
          <w:szCs w:val="24"/>
        </w:rPr>
        <w:t>-</w:t>
      </w:r>
      <w:r w:rsidR="00B356B5">
        <w:rPr>
          <w:rFonts w:ascii="Calibri" w:hAnsi="Calibri"/>
          <w:color w:val="00558C"/>
          <w:sz w:val="24"/>
          <w:szCs w:val="24"/>
        </w:rPr>
        <w:t>3.1.0.9</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2BD5A7D1" w:rsidR="0080294B" w:rsidRPr="00B0084A" w:rsidRDefault="00B356B5"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EndPr/>
        <w:sdtContent>
          <w:r w:rsidR="00115CD9">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115CD9">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E1A3B65" w:rsidR="0080294B" w:rsidRPr="00B0084A" w:rsidRDefault="00B356B5"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02F707D6"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248452FA"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1C44A3" w:rsidRPr="007A395D">
        <w:rPr>
          <w:rFonts w:ascii="Calibri" w:hAnsi="Calibri"/>
        </w:rPr>
        <w:tab/>
      </w:r>
      <w:r w:rsidRPr="007A395D">
        <w:rPr>
          <w:rFonts w:ascii="Calibri" w:hAnsi="Calibri"/>
        </w:rPr>
        <w:t>…………………………………</w:t>
      </w:r>
    </w:p>
    <w:p w14:paraId="01FC5420" w14:textId="353AD954" w:rsidR="00362CD9" w:rsidRPr="00115CD9" w:rsidRDefault="00362CD9" w:rsidP="00FE5674">
      <w:pPr>
        <w:pStyle w:val="BodyText"/>
        <w:tabs>
          <w:tab w:val="left" w:pos="2835"/>
        </w:tabs>
        <w:rPr>
          <w:rFonts w:ascii="Calibri" w:eastAsia="Malgun Gothic" w:hAnsi="Calibri"/>
          <w:color w:val="FF0000"/>
          <w:lang w:eastAsia="ko-KR"/>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15CD9">
        <w:rPr>
          <w:rFonts w:ascii="Calibri" w:eastAsia="Malgun Gothic" w:hAnsi="Calibri" w:hint="eastAsia"/>
          <w:lang w:eastAsia="ko-KR"/>
        </w:rPr>
        <w:t>Secretariat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0701FCDD" w:rsidR="00A446C9" w:rsidRPr="00605E43" w:rsidRDefault="00EF0929" w:rsidP="0035243F">
      <w:pPr>
        <w:pStyle w:val="Title"/>
      </w:pPr>
      <w:r>
        <w:rPr>
          <w:rFonts w:eastAsia="Malgun Gothic" w:hint="eastAsia"/>
          <w:lang w:eastAsia="ko-KR"/>
        </w:rPr>
        <w:t>ENG documents review</w:t>
      </w:r>
    </w:p>
    <w:p w14:paraId="2CC2DB54" w14:textId="5C108F68" w:rsidR="009874F9" w:rsidRPr="009874F9" w:rsidRDefault="00EF0929" w:rsidP="009874F9">
      <w:pPr>
        <w:pStyle w:val="Heading1"/>
      </w:pPr>
      <w:r>
        <w:rPr>
          <w:rFonts w:eastAsia="Malgun Gothic" w:hint="eastAsia"/>
          <w:lang w:eastAsia="ko-KR"/>
        </w:rPr>
        <w:t>Introduction</w:t>
      </w:r>
    </w:p>
    <w:p w14:paraId="75B2BF23" w14:textId="18C0C6D1" w:rsidR="00910CB9" w:rsidRPr="00910CB9" w:rsidRDefault="00910CB9" w:rsidP="00B56BDF">
      <w:pPr>
        <w:pStyle w:val="BodyText"/>
        <w:rPr>
          <w:rFonts w:eastAsia="Malgun Gothic"/>
          <w:lang w:eastAsia="ko-KR"/>
        </w:rPr>
      </w:pPr>
      <w:r>
        <w:t>In the IALA document hierarchy, Standards, Recommendations, and Guidelines are interrelated. Since the development of these Standards, new documents have been introduced, and over time, some documents have become misaligned or disconnected from others. This necessitates a comprehensive review to ensure consistency and relevance.</w:t>
      </w:r>
    </w:p>
    <w:p w14:paraId="23B5467E" w14:textId="4EACFE67" w:rsidR="00F25BF4" w:rsidRPr="00033CC9" w:rsidRDefault="00A446C9" w:rsidP="00A446C9">
      <w:pPr>
        <w:pStyle w:val="Heading1"/>
      </w:pPr>
      <w:r w:rsidRPr="007A395D">
        <w:t>Discussion</w:t>
      </w:r>
    </w:p>
    <w:p w14:paraId="40DE41FB" w14:textId="7DA87E68" w:rsidR="00910CB9" w:rsidRPr="00910CB9" w:rsidRDefault="00910CB9" w:rsidP="00910CB9">
      <w:pPr>
        <w:pStyle w:val="BodyText"/>
      </w:pPr>
      <w:r w:rsidRPr="00910CB9">
        <w:t xml:space="preserve">The Standards encompass a broad spectrum of technologies. For instance, Standard S-1020 covers areas such as </w:t>
      </w:r>
      <w:r w:rsidR="00033CC9" w:rsidRPr="00910CB9">
        <w:t>signalling</w:t>
      </w:r>
      <w:r w:rsidRPr="00910CB9">
        <w:t>, design, environmental considerations, and heritage, while Standard S-1030 focuses on satellite and terrestrial positioning, timing, and augmentation services. Below is a summary of the key areas covered by these Standards:</w:t>
      </w:r>
    </w:p>
    <w:p w14:paraId="4B124DA4" w14:textId="492BA3AB" w:rsidR="00910CB9" w:rsidRPr="00910CB9" w:rsidRDefault="00910CB9" w:rsidP="00910CB9">
      <w:pPr>
        <w:pStyle w:val="BodyText"/>
        <w:numPr>
          <w:ilvl w:val="0"/>
          <w:numId w:val="75"/>
        </w:numPr>
        <w:jc w:val="left"/>
      </w:pPr>
      <w:r w:rsidRPr="00910CB9">
        <w:t xml:space="preserve">S-1020 Marine </w:t>
      </w:r>
      <w:proofErr w:type="spellStart"/>
      <w:r w:rsidRPr="00910CB9">
        <w:t>AtoN</w:t>
      </w:r>
      <w:proofErr w:type="spellEnd"/>
      <w:r w:rsidRPr="00910CB9">
        <w:t xml:space="preserve"> Design and Delivery</w:t>
      </w:r>
    </w:p>
    <w:p w14:paraId="293D229D" w14:textId="77777777" w:rsidR="00910CB9" w:rsidRPr="00910CB9" w:rsidRDefault="00910CB9" w:rsidP="00910CB9">
      <w:pPr>
        <w:pStyle w:val="BodyText"/>
        <w:numPr>
          <w:ilvl w:val="0"/>
          <w:numId w:val="76"/>
        </w:numPr>
        <w:ind w:firstLine="414"/>
        <w:jc w:val="left"/>
      </w:pPr>
      <w:r w:rsidRPr="00910CB9">
        <w:t>2.1 Visual signalling for Aids to Navigation</w:t>
      </w:r>
    </w:p>
    <w:p w14:paraId="4D061DB9" w14:textId="77777777" w:rsidR="00910CB9" w:rsidRPr="00910CB9" w:rsidRDefault="00910CB9" w:rsidP="00910CB9">
      <w:pPr>
        <w:pStyle w:val="BodyText"/>
        <w:numPr>
          <w:ilvl w:val="0"/>
          <w:numId w:val="76"/>
        </w:numPr>
        <w:ind w:firstLine="414"/>
        <w:jc w:val="left"/>
      </w:pPr>
      <w:r w:rsidRPr="00910CB9">
        <w:t>2.2 Design, implementation, and maintenance</w:t>
      </w:r>
    </w:p>
    <w:p w14:paraId="3226B930" w14:textId="77777777" w:rsidR="00910CB9" w:rsidRPr="00910CB9" w:rsidRDefault="00910CB9" w:rsidP="00910CB9">
      <w:pPr>
        <w:pStyle w:val="BodyText"/>
        <w:numPr>
          <w:ilvl w:val="0"/>
          <w:numId w:val="76"/>
        </w:numPr>
        <w:ind w:firstLine="414"/>
        <w:jc w:val="left"/>
      </w:pPr>
      <w:r w:rsidRPr="00910CB9">
        <w:t>2.3 Floating Aids to Navigation</w:t>
      </w:r>
    </w:p>
    <w:p w14:paraId="4C5E2094" w14:textId="77777777" w:rsidR="00910CB9" w:rsidRPr="00910CB9" w:rsidRDefault="00910CB9" w:rsidP="00910CB9">
      <w:pPr>
        <w:pStyle w:val="BodyText"/>
        <w:numPr>
          <w:ilvl w:val="0"/>
          <w:numId w:val="76"/>
        </w:numPr>
        <w:ind w:firstLine="414"/>
        <w:jc w:val="left"/>
      </w:pPr>
      <w:r w:rsidRPr="00910CB9">
        <w:t>2.4 Environmental considerations and sustainability</w:t>
      </w:r>
    </w:p>
    <w:p w14:paraId="188C8C4F" w14:textId="77777777" w:rsidR="00910CB9" w:rsidRPr="00910CB9" w:rsidRDefault="00910CB9" w:rsidP="00910CB9">
      <w:pPr>
        <w:pStyle w:val="BodyText"/>
        <w:numPr>
          <w:ilvl w:val="0"/>
          <w:numId w:val="76"/>
        </w:numPr>
        <w:ind w:firstLine="414"/>
        <w:jc w:val="left"/>
      </w:pPr>
      <w:r w:rsidRPr="00910CB9">
        <w:t>2.5 Power systems</w:t>
      </w:r>
    </w:p>
    <w:p w14:paraId="29960676" w14:textId="6C050B39" w:rsidR="00910CB9" w:rsidRPr="00910CB9" w:rsidRDefault="00910CB9" w:rsidP="00910CB9">
      <w:pPr>
        <w:pStyle w:val="BodyText"/>
        <w:numPr>
          <w:ilvl w:val="0"/>
          <w:numId w:val="76"/>
        </w:numPr>
        <w:ind w:firstLine="414"/>
        <w:jc w:val="left"/>
      </w:pPr>
      <w:r w:rsidRPr="00910CB9">
        <w:t>2.6 Heritage and cultural aspects</w:t>
      </w:r>
    </w:p>
    <w:p w14:paraId="4481B9EF" w14:textId="160FE961" w:rsidR="00910CB9" w:rsidRPr="00910CB9" w:rsidRDefault="00910CB9" w:rsidP="00910CB9">
      <w:pPr>
        <w:pStyle w:val="BodyText"/>
        <w:numPr>
          <w:ilvl w:val="0"/>
          <w:numId w:val="75"/>
        </w:numPr>
        <w:jc w:val="left"/>
      </w:pPr>
      <w:r w:rsidRPr="00910CB9">
        <w:t>S-1030 Radionavigation Services</w:t>
      </w:r>
    </w:p>
    <w:p w14:paraId="38B5E0B5" w14:textId="77777777" w:rsidR="00910CB9" w:rsidRPr="00910CB9" w:rsidRDefault="00910CB9" w:rsidP="00910CB9">
      <w:pPr>
        <w:pStyle w:val="BodyText"/>
        <w:numPr>
          <w:ilvl w:val="0"/>
          <w:numId w:val="76"/>
        </w:numPr>
        <w:ind w:firstLine="414"/>
        <w:jc w:val="left"/>
      </w:pPr>
      <w:r w:rsidRPr="00910CB9">
        <w:t>3.1 Satellite positioning and timing</w:t>
      </w:r>
      <w:r>
        <w:rPr>
          <w:rFonts w:eastAsia="Malgun Gothic" w:hint="eastAsia"/>
          <w:lang w:eastAsia="ko-KR"/>
        </w:rPr>
        <w:t xml:space="preserve"> </w:t>
      </w:r>
    </w:p>
    <w:p w14:paraId="098BDC42" w14:textId="61F951E8" w:rsidR="00910CB9" w:rsidRPr="00910CB9" w:rsidRDefault="00910CB9" w:rsidP="00910CB9">
      <w:pPr>
        <w:pStyle w:val="BodyText"/>
        <w:numPr>
          <w:ilvl w:val="0"/>
          <w:numId w:val="76"/>
        </w:numPr>
        <w:ind w:firstLine="414"/>
        <w:jc w:val="left"/>
      </w:pPr>
      <w:r w:rsidRPr="00910CB9">
        <w:t>3.2 Terrestrial positioning and timing</w:t>
      </w:r>
    </w:p>
    <w:p w14:paraId="61937F68" w14:textId="2CC9E119" w:rsidR="00910CB9" w:rsidRPr="00910CB9" w:rsidRDefault="00910CB9" w:rsidP="00910CB9">
      <w:pPr>
        <w:pStyle w:val="BodyText"/>
        <w:numPr>
          <w:ilvl w:val="0"/>
          <w:numId w:val="76"/>
        </w:numPr>
        <w:ind w:firstLine="414"/>
        <w:jc w:val="left"/>
      </w:pPr>
      <w:r w:rsidRPr="00910CB9">
        <w:t>3.3 Augmentation services</w:t>
      </w:r>
    </w:p>
    <w:p w14:paraId="7B82B342" w14:textId="4B8C5486" w:rsidR="00910CB9" w:rsidRPr="00910CB9" w:rsidRDefault="00910CB9" w:rsidP="00910CB9">
      <w:pPr>
        <w:pStyle w:val="BodyText"/>
        <w:numPr>
          <w:ilvl w:val="0"/>
          <w:numId w:val="76"/>
        </w:numPr>
        <w:ind w:firstLine="414"/>
        <w:jc w:val="left"/>
      </w:pPr>
      <w:r w:rsidRPr="00910CB9">
        <w:t>3.4 Racon and radar positioning</w:t>
      </w:r>
    </w:p>
    <w:p w14:paraId="00EC0BCC" w14:textId="4C41F8B8" w:rsidR="00180DDA" w:rsidRPr="00243B13" w:rsidRDefault="00910CB9" w:rsidP="00243B13">
      <w:pPr>
        <w:pStyle w:val="BodyText"/>
        <w:rPr>
          <w:rFonts w:eastAsia="Malgun Gothic"/>
          <w:lang w:eastAsia="ko-KR"/>
        </w:rPr>
      </w:pPr>
      <w:r w:rsidRPr="00910CB9">
        <w:t xml:space="preserve">Given the breadth and evolution of these </w:t>
      </w:r>
      <w:r w:rsidR="00033CC9">
        <w:rPr>
          <w:rFonts w:eastAsia="Malgun Gothic" w:hint="eastAsia"/>
          <w:lang w:eastAsia="ko-KR"/>
        </w:rPr>
        <w:t>technical documents</w:t>
      </w:r>
      <w:r w:rsidRPr="00910CB9">
        <w:t xml:space="preserve">, it is now essential to conduct a thorough review of all Standards, Recommendations, and Guidelines under the ENG Committee's </w:t>
      </w:r>
      <w:r w:rsidR="00033CC9">
        <w:rPr>
          <w:rFonts w:eastAsia="Malgun Gothic" w:hint="eastAsia"/>
          <w:lang w:eastAsia="ko-KR"/>
        </w:rPr>
        <w:t>work scope</w:t>
      </w:r>
      <w:r w:rsidRPr="00910CB9">
        <w:t>. This will identify areas that require updates, revisions, or possible withdrawal.</w:t>
      </w:r>
    </w:p>
    <w:p w14:paraId="7A8D2F27" w14:textId="77777777" w:rsidR="00A446C9" w:rsidRPr="007A395D" w:rsidRDefault="00A446C9" w:rsidP="00605E43">
      <w:pPr>
        <w:pStyle w:val="Heading1"/>
      </w:pPr>
      <w:r w:rsidRPr="007A395D">
        <w:lastRenderedPageBreak/>
        <w:t>Action requested of the Committee</w:t>
      </w:r>
    </w:p>
    <w:p w14:paraId="16AE6650" w14:textId="565671A5" w:rsidR="004D1D85" w:rsidRPr="00243B13" w:rsidRDefault="00243B13" w:rsidP="00243B13">
      <w:pPr>
        <w:pStyle w:val="BodyText"/>
        <w:rPr>
          <w:rFonts w:ascii="Calibri" w:hAnsi="Calibri"/>
        </w:rPr>
      </w:pPr>
      <w:r w:rsidRPr="00243B13">
        <w:rPr>
          <w:rFonts w:ascii="Calibri" w:hAnsi="Calibri"/>
        </w:rPr>
        <w:t>The committee is requested to review the technical documents catalogue (Ed.7.0), identify any gaps, and reflect these into the committee task plan to guide future work.</w:t>
      </w:r>
    </w:p>
    <w:sectPr w:rsidR="004D1D85" w:rsidRPr="00243B13" w:rsidSect="0082480E">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D6AF41" w14:textId="77777777" w:rsidR="00CF7921" w:rsidRDefault="00CF7921" w:rsidP="00362CD9">
      <w:r>
        <w:separator/>
      </w:r>
    </w:p>
  </w:endnote>
  <w:endnote w:type="continuationSeparator" w:id="0">
    <w:p w14:paraId="0F15461C" w14:textId="77777777" w:rsidR="00CF7921" w:rsidRDefault="00CF792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95564" w14:textId="77777777" w:rsidR="003351C4" w:rsidRDefault="003351C4" w:rsidP="004533B7">
    <w:pPr>
      <w:pStyle w:val="Footerportrait"/>
    </w:pPr>
  </w:p>
  <w:p w14:paraId="50E06A6A" w14:textId="4758590B" w:rsidR="004533B7" w:rsidRPr="00C907DF" w:rsidRDefault="00CF7921" w:rsidP="004533B7">
    <w:pPr>
      <w:pStyle w:val="Footerportrait"/>
    </w:pPr>
    <w:fldSimple w:instr=" STYLEREF  Title  \* MERGEFORMAT ">
      <w:r w:rsidR="00B356B5">
        <w:t>ENG documents review</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2E3AD" w14:textId="77777777" w:rsidR="00637047" w:rsidRDefault="00637047" w:rsidP="00637047">
    <w:pPr>
      <w:pStyle w:val="Footerportrait"/>
    </w:pPr>
    <w:r>
      <w:tab/>
    </w:r>
  </w:p>
  <w:p w14:paraId="3A693EAD" w14:textId="67EDE25C" w:rsidR="00637047" w:rsidRPr="00C907DF" w:rsidRDefault="00CF7921" w:rsidP="00637047">
    <w:pPr>
      <w:pStyle w:val="Footerportrait"/>
    </w:pPr>
    <w:fldSimple w:instr=" STYLEREF  Title  \* MERGEFORMAT ">
      <w:r w:rsidR="00EF0929">
        <w:t>ENG documents review</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C94B09" w14:textId="77777777" w:rsidR="00CF7921" w:rsidRDefault="00CF7921" w:rsidP="00362CD9">
      <w:r>
        <w:separator/>
      </w:r>
    </w:p>
  </w:footnote>
  <w:footnote w:type="continuationSeparator" w:id="0">
    <w:p w14:paraId="0ED4B23E" w14:textId="77777777" w:rsidR="00CF7921" w:rsidRDefault="00CF7921"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65AC18A"/>
    <w:lvl w:ilvl="0">
      <w:start w:val="1"/>
      <w:numFmt w:val="decimal"/>
      <w:lvlText w:val="%1."/>
      <w:lvlJc w:val="left"/>
      <w:pPr>
        <w:tabs>
          <w:tab w:val="num" w:pos="5320"/>
        </w:tabs>
        <w:ind w:left="5320"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F79517D"/>
    <w:multiLevelType w:val="hybridMultilevel"/>
    <w:tmpl w:val="EC1A5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5"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6"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1"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4"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7" w15:restartNumberingAfterBreak="0">
    <w:nsid w:val="701C3834"/>
    <w:multiLevelType w:val="multilevel"/>
    <w:tmpl w:val="A4247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4CE453E"/>
    <w:multiLevelType w:val="hybridMultilevel"/>
    <w:tmpl w:val="5A34F776"/>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07336229">
    <w:abstractNumId w:val="7"/>
  </w:num>
  <w:num w:numId="2" w16cid:durableId="1513641555">
    <w:abstractNumId w:val="2"/>
  </w:num>
  <w:num w:numId="3" w16cid:durableId="221869597">
    <w:abstractNumId w:val="19"/>
  </w:num>
  <w:num w:numId="4" w16cid:durableId="1272933503">
    <w:abstractNumId w:val="42"/>
  </w:num>
  <w:num w:numId="5" w16cid:durableId="3168626">
    <w:abstractNumId w:val="32"/>
  </w:num>
  <w:num w:numId="6" w16cid:durableId="1515421215">
    <w:abstractNumId w:val="11"/>
  </w:num>
  <w:num w:numId="7" w16cid:durableId="641278360">
    <w:abstractNumId w:val="45"/>
  </w:num>
  <w:num w:numId="8" w16cid:durableId="1392968882">
    <w:abstractNumId w:val="27"/>
  </w:num>
  <w:num w:numId="9" w16cid:durableId="1130132728">
    <w:abstractNumId w:val="21"/>
  </w:num>
  <w:num w:numId="10" w16cid:durableId="787748147">
    <w:abstractNumId w:val="36"/>
  </w:num>
  <w:num w:numId="11" w16cid:durableId="922879257">
    <w:abstractNumId w:val="35"/>
  </w:num>
  <w:num w:numId="12" w16cid:durableId="322588777">
    <w:abstractNumId w:val="31"/>
  </w:num>
  <w:num w:numId="13" w16cid:durableId="674920789">
    <w:abstractNumId w:val="43"/>
  </w:num>
  <w:num w:numId="14" w16cid:durableId="1120228548">
    <w:abstractNumId w:val="17"/>
  </w:num>
  <w:num w:numId="15" w16cid:durableId="1735155845">
    <w:abstractNumId w:val="51"/>
  </w:num>
  <w:num w:numId="16" w16cid:durableId="1193423347">
    <w:abstractNumId w:val="30"/>
  </w:num>
  <w:num w:numId="17" w16cid:durableId="1697805271">
    <w:abstractNumId w:val="18"/>
  </w:num>
  <w:num w:numId="18" w16cid:durableId="2022077649">
    <w:abstractNumId w:val="39"/>
  </w:num>
  <w:num w:numId="19" w16cid:durableId="1775008830">
    <w:abstractNumId w:val="30"/>
  </w:num>
  <w:num w:numId="20" w16cid:durableId="1218780326">
    <w:abstractNumId w:val="30"/>
  </w:num>
  <w:num w:numId="21" w16cid:durableId="2134251286">
    <w:abstractNumId w:val="30"/>
  </w:num>
  <w:num w:numId="22" w16cid:durableId="1889761361">
    <w:abstractNumId w:val="30"/>
  </w:num>
  <w:num w:numId="23" w16cid:durableId="1380013222">
    <w:abstractNumId w:val="40"/>
  </w:num>
  <w:num w:numId="24" w16cid:durableId="91752779">
    <w:abstractNumId w:val="10"/>
  </w:num>
  <w:num w:numId="25" w16cid:durableId="715280015">
    <w:abstractNumId w:val="10"/>
  </w:num>
  <w:num w:numId="26" w16cid:durableId="1538159513">
    <w:abstractNumId w:val="10"/>
  </w:num>
  <w:num w:numId="27" w16cid:durableId="1167675154">
    <w:abstractNumId w:val="23"/>
  </w:num>
  <w:num w:numId="28" w16cid:durableId="1451825435">
    <w:abstractNumId w:val="23"/>
  </w:num>
  <w:num w:numId="29" w16cid:durableId="273513658">
    <w:abstractNumId w:val="23"/>
  </w:num>
  <w:num w:numId="30" w16cid:durableId="1897429974">
    <w:abstractNumId w:val="23"/>
  </w:num>
  <w:num w:numId="31" w16cid:durableId="639918874">
    <w:abstractNumId w:val="23"/>
  </w:num>
  <w:num w:numId="32" w16cid:durableId="1893497292">
    <w:abstractNumId w:val="23"/>
  </w:num>
  <w:num w:numId="33" w16cid:durableId="341401788">
    <w:abstractNumId w:val="37"/>
  </w:num>
  <w:num w:numId="34" w16cid:durableId="64425627">
    <w:abstractNumId w:val="37"/>
  </w:num>
  <w:num w:numId="35" w16cid:durableId="1220819273">
    <w:abstractNumId w:val="37"/>
  </w:num>
  <w:num w:numId="36" w16cid:durableId="695229617">
    <w:abstractNumId w:val="28"/>
  </w:num>
  <w:num w:numId="37" w16cid:durableId="1273438494">
    <w:abstractNumId w:val="17"/>
  </w:num>
  <w:num w:numId="38" w16cid:durableId="1491209645">
    <w:abstractNumId w:val="31"/>
  </w:num>
  <w:num w:numId="39" w16cid:durableId="2002737243">
    <w:abstractNumId w:val="30"/>
  </w:num>
  <w:num w:numId="40" w16cid:durableId="2288837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88650918">
    <w:abstractNumId w:val="9"/>
  </w:num>
  <w:num w:numId="42" w16cid:durableId="634572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56565227">
    <w:abstractNumId w:val="9"/>
  </w:num>
  <w:num w:numId="44" w16cid:durableId="1685671152">
    <w:abstractNumId w:val="29"/>
  </w:num>
  <w:num w:numId="45" w16cid:durableId="373044656">
    <w:abstractNumId w:val="33"/>
  </w:num>
  <w:num w:numId="46" w16cid:durableId="1724909348">
    <w:abstractNumId w:val="52"/>
  </w:num>
  <w:num w:numId="47" w16cid:durableId="669600669">
    <w:abstractNumId w:val="14"/>
  </w:num>
  <w:num w:numId="48" w16cid:durableId="898899832">
    <w:abstractNumId w:val="22"/>
  </w:num>
  <w:num w:numId="49" w16cid:durableId="1366638364">
    <w:abstractNumId w:val="15"/>
  </w:num>
  <w:num w:numId="50" w16cid:durableId="844128655">
    <w:abstractNumId w:val="13"/>
  </w:num>
  <w:num w:numId="51" w16cid:durableId="303320265">
    <w:abstractNumId w:val="20"/>
  </w:num>
  <w:num w:numId="52" w16cid:durableId="1595092452">
    <w:abstractNumId w:val="44"/>
  </w:num>
  <w:num w:numId="53" w16cid:durableId="1944914188">
    <w:abstractNumId w:val="49"/>
  </w:num>
  <w:num w:numId="54" w16cid:durableId="1878081097">
    <w:abstractNumId w:val="16"/>
  </w:num>
  <w:num w:numId="55" w16cid:durableId="2022123092">
    <w:abstractNumId w:val="50"/>
  </w:num>
  <w:num w:numId="56" w16cid:durableId="751581535">
    <w:abstractNumId w:val="41"/>
  </w:num>
  <w:num w:numId="57" w16cid:durableId="2091925736">
    <w:abstractNumId w:val="26"/>
  </w:num>
  <w:num w:numId="58" w16cid:durableId="24671711">
    <w:abstractNumId w:val="8"/>
  </w:num>
  <w:num w:numId="59" w16cid:durableId="2088258171">
    <w:abstractNumId w:val="6"/>
  </w:num>
  <w:num w:numId="60" w16cid:durableId="120733645">
    <w:abstractNumId w:val="5"/>
  </w:num>
  <w:num w:numId="61" w16cid:durableId="1202742714">
    <w:abstractNumId w:val="4"/>
  </w:num>
  <w:num w:numId="62" w16cid:durableId="861675194">
    <w:abstractNumId w:val="3"/>
  </w:num>
  <w:num w:numId="63" w16cid:durableId="569120598">
    <w:abstractNumId w:val="1"/>
  </w:num>
  <w:num w:numId="64" w16cid:durableId="1015381161">
    <w:abstractNumId w:val="0"/>
  </w:num>
  <w:num w:numId="65" w16cid:durableId="1164400072">
    <w:abstractNumId w:val="38"/>
  </w:num>
  <w:num w:numId="66" w16cid:durableId="2128155291">
    <w:abstractNumId w:val="46"/>
  </w:num>
  <w:num w:numId="67" w16cid:durableId="229927745">
    <w:abstractNumId w:val="25"/>
  </w:num>
  <w:num w:numId="68" w16cid:durableId="68894657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374187139">
    <w:abstractNumId w:val="24"/>
  </w:num>
  <w:num w:numId="70" w16cid:durableId="2308483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853906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18999937">
    <w:abstractNumId w:val="34"/>
  </w:num>
  <w:num w:numId="73" w16cid:durableId="60491867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58455277">
    <w:abstractNumId w:val="47"/>
  </w:num>
  <w:num w:numId="75" w16cid:durableId="1882983634">
    <w:abstractNumId w:val="12"/>
  </w:num>
  <w:num w:numId="76" w16cid:durableId="825173475">
    <w:abstractNumId w:val="4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oxqAbGigDAsAAAA"/>
  </w:docVars>
  <w:rsids>
    <w:rsidRoot w:val="00FE5674"/>
    <w:rsid w:val="000005D3"/>
    <w:rsid w:val="000049D8"/>
    <w:rsid w:val="00033CC9"/>
    <w:rsid w:val="00036B9E"/>
    <w:rsid w:val="00036D03"/>
    <w:rsid w:val="00037DF4"/>
    <w:rsid w:val="0004700E"/>
    <w:rsid w:val="00057FCA"/>
    <w:rsid w:val="00070C13"/>
    <w:rsid w:val="000715C9"/>
    <w:rsid w:val="00084F33"/>
    <w:rsid w:val="000A77A7"/>
    <w:rsid w:val="000B1707"/>
    <w:rsid w:val="000C1B3E"/>
    <w:rsid w:val="000C349E"/>
    <w:rsid w:val="00110203"/>
    <w:rsid w:val="00110AE7"/>
    <w:rsid w:val="00115CD9"/>
    <w:rsid w:val="001241C8"/>
    <w:rsid w:val="00177F4D"/>
    <w:rsid w:val="00180DDA"/>
    <w:rsid w:val="001B2A2D"/>
    <w:rsid w:val="001B737D"/>
    <w:rsid w:val="001C44A3"/>
    <w:rsid w:val="001C77BB"/>
    <w:rsid w:val="001E0E15"/>
    <w:rsid w:val="001F528A"/>
    <w:rsid w:val="001F704E"/>
    <w:rsid w:val="00201722"/>
    <w:rsid w:val="002125B0"/>
    <w:rsid w:val="00221E08"/>
    <w:rsid w:val="00237D7C"/>
    <w:rsid w:val="00243228"/>
    <w:rsid w:val="00243B13"/>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6948"/>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B32A3"/>
    <w:rsid w:val="005B5BAE"/>
    <w:rsid w:val="005C0D44"/>
    <w:rsid w:val="005C566C"/>
    <w:rsid w:val="005C7E69"/>
    <w:rsid w:val="005E262D"/>
    <w:rsid w:val="005F23D3"/>
    <w:rsid w:val="005F7E20"/>
    <w:rsid w:val="00605E43"/>
    <w:rsid w:val="006153BB"/>
    <w:rsid w:val="00635ADD"/>
    <w:rsid w:val="00637047"/>
    <w:rsid w:val="006652C3"/>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10CB9"/>
    <w:rsid w:val="0092692B"/>
    <w:rsid w:val="00943E9C"/>
    <w:rsid w:val="00953F4D"/>
    <w:rsid w:val="00960BB8"/>
    <w:rsid w:val="00964F5C"/>
    <w:rsid w:val="00973B57"/>
    <w:rsid w:val="009831C0"/>
    <w:rsid w:val="009874F9"/>
    <w:rsid w:val="0099161D"/>
    <w:rsid w:val="009C5F41"/>
    <w:rsid w:val="00A01B17"/>
    <w:rsid w:val="00A0389B"/>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356B5"/>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4B39"/>
    <w:rsid w:val="00BE700D"/>
    <w:rsid w:val="00BF32F0"/>
    <w:rsid w:val="00BF4DCE"/>
    <w:rsid w:val="00C02DDD"/>
    <w:rsid w:val="00C05CE5"/>
    <w:rsid w:val="00C52A4D"/>
    <w:rsid w:val="00C6171E"/>
    <w:rsid w:val="00C865DF"/>
    <w:rsid w:val="00CA6F2C"/>
    <w:rsid w:val="00CC79CE"/>
    <w:rsid w:val="00CF1871"/>
    <w:rsid w:val="00CF7921"/>
    <w:rsid w:val="00D019CE"/>
    <w:rsid w:val="00D1133E"/>
    <w:rsid w:val="00D17A34"/>
    <w:rsid w:val="00D26628"/>
    <w:rsid w:val="00D332B3"/>
    <w:rsid w:val="00D423E5"/>
    <w:rsid w:val="00D55207"/>
    <w:rsid w:val="00D60825"/>
    <w:rsid w:val="00D81801"/>
    <w:rsid w:val="00D92B45"/>
    <w:rsid w:val="00D95962"/>
    <w:rsid w:val="00DC389B"/>
    <w:rsid w:val="00DE2FEE"/>
    <w:rsid w:val="00E00BE9"/>
    <w:rsid w:val="00E04761"/>
    <w:rsid w:val="00E22A11"/>
    <w:rsid w:val="00E31E5C"/>
    <w:rsid w:val="00E44DD2"/>
    <w:rsid w:val="00E558C3"/>
    <w:rsid w:val="00E55927"/>
    <w:rsid w:val="00E912A6"/>
    <w:rsid w:val="00EA4844"/>
    <w:rsid w:val="00EA4D9C"/>
    <w:rsid w:val="00EA5A97"/>
    <w:rsid w:val="00EB75EE"/>
    <w:rsid w:val="00EE4C1D"/>
    <w:rsid w:val="00EF0929"/>
    <w:rsid w:val="00EF1FD4"/>
    <w:rsid w:val="00EF3685"/>
    <w:rsid w:val="00F04350"/>
    <w:rsid w:val="00F133DB"/>
    <w:rsid w:val="00F159EB"/>
    <w:rsid w:val="00F25BF4"/>
    <w:rsid w:val="00F267DB"/>
    <w:rsid w:val="00F46F6F"/>
    <w:rsid w:val="00F60608"/>
    <w:rsid w:val="00F62217"/>
    <w:rsid w:val="00F63573"/>
    <w:rsid w:val="00F71ACC"/>
    <w:rsid w:val="00FB17A9"/>
    <w:rsid w:val="00FB527C"/>
    <w:rsid w:val="00FB6F75"/>
    <w:rsid w:val="00FC0EB3"/>
    <w:rsid w:val="00FD675E"/>
    <w:rsid w:val="00FE1088"/>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character" w:styleId="Strong">
    <w:name w:val="Strong"/>
    <w:basedOn w:val="DefaultParagraphFont"/>
    <w:uiPriority w:val="22"/>
    <w:qFormat/>
    <w:rsid w:val="00910C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794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3.xml><?xml version="1.0" encoding="utf-8"?>
<ds:datastoreItem xmlns:ds="http://schemas.openxmlformats.org/officeDocument/2006/customXml" ds:itemID="{352BA621-B660-49CF-936A-574914D935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TotalTime>
  <Pages>2</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61</cp:revision>
  <dcterms:created xsi:type="dcterms:W3CDTF">2021-08-28T15:13:00Z</dcterms:created>
  <dcterms:modified xsi:type="dcterms:W3CDTF">2024-09-24T13:59:00Z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